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浙江桐乡农村商业银行股份有限公司</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2024年度第三支柱信息披露报告</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kern w:val="0"/>
          <w:sz w:val="32"/>
          <w:szCs w:val="32"/>
        </w:rPr>
      </w:pP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本行为非国内系统重要性银行，根据《商业银行资本管理办法》（以下简称“办法”）附件22《商业银行信息披露内容和要求》的规定，经本行</w:t>
      </w:r>
      <w:r>
        <w:rPr>
          <w:rFonts w:hint="eastAsia" w:ascii="Times New Roman" w:hAnsi="Times New Roman" w:eastAsia="仿宋_GB2312" w:cs="Times New Roman"/>
          <w:kern w:val="0"/>
          <w:sz w:val="32"/>
          <w:szCs w:val="32"/>
          <w:lang w:val="en-US" w:eastAsia="zh-CN"/>
        </w:rPr>
        <w:t>第三届董事会第四次会议审议通过</w:t>
      </w:r>
      <w:r>
        <w:rPr>
          <w:rFonts w:hint="default" w:ascii="Times New Roman" w:hAnsi="Times New Roman" w:eastAsia="仿宋_GB2312" w:cs="Times New Roman"/>
          <w:kern w:val="0"/>
          <w:sz w:val="32"/>
          <w:szCs w:val="32"/>
        </w:rPr>
        <w:t>，现对2024年</w:t>
      </w:r>
      <w:r>
        <w:rPr>
          <w:rFonts w:hint="eastAsia" w:ascii="Times New Roman" w:hAnsi="Times New Roman" w:eastAsia="仿宋_GB2312" w:cs="Times New Roman"/>
          <w:kern w:val="0"/>
          <w:sz w:val="32"/>
          <w:szCs w:val="32"/>
          <w:lang w:val="en-US" w:eastAsia="zh-CN"/>
        </w:rPr>
        <w:t>度</w:t>
      </w:r>
      <w:r>
        <w:rPr>
          <w:rFonts w:hint="default" w:ascii="Times New Roman" w:hAnsi="Times New Roman" w:eastAsia="仿宋_GB2312" w:cs="Times New Roman"/>
          <w:kern w:val="0"/>
          <w:sz w:val="32"/>
          <w:szCs w:val="32"/>
        </w:rPr>
        <w:t>资本充足情况进行披露。</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办法</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，年度需披露报表如下：</w:t>
      </w:r>
    </w:p>
    <w:p>
      <w:pPr>
        <w:ind w:firstLine="643" w:firstLineChars="20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附表一：</w:t>
      </w:r>
      <w:r>
        <w:rPr>
          <w:rFonts w:ascii="仿宋_GB2312" w:hAnsi="仿宋_GB2312" w:eastAsia="仿宋_GB2312" w:cs="仿宋_GB2312"/>
          <w:b/>
          <w:kern w:val="0"/>
          <w:sz w:val="32"/>
          <w:szCs w:val="32"/>
        </w:rPr>
        <w:t>KM1监管并表关键审慎监管指标</w:t>
      </w:r>
    </w:p>
    <w:p>
      <w:pPr>
        <w:widowControl/>
        <w:shd w:val="clear" w:color="auto"/>
        <w:spacing w:line="193" w:lineRule="atLeast"/>
        <w:ind w:firstLine="206"/>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单位：人民币万元</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579"/>
        <w:gridCol w:w="1579"/>
        <w:gridCol w:w="1579"/>
        <w:gridCol w:w="1580"/>
        <w:gridCol w:w="1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204" w:type="dxa"/>
            <w:gridSpan w:val="2"/>
            <w:vMerge w:val="restart"/>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　</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a</w:t>
            </w:r>
          </w:p>
        </w:tc>
        <w:tc>
          <w:tcPr>
            <w:tcW w:w="1579" w:type="dxa"/>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b</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_GB2312" w:eastAsia="仿宋_GB2312" w:cs="仿宋_GB2312"/>
                <w:color w:val="000000" w:themeColor="text1"/>
                <w:sz w:val="24"/>
                <w:szCs w:val="24"/>
                <w14:textFill>
                  <w14:solidFill>
                    <w14:schemeClr w14:val="tx1"/>
                  </w14:solidFill>
                </w14:textFill>
              </w:rPr>
              <w:t>c</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_GB2312" w:eastAsia="仿宋_GB2312" w:cs="仿宋_GB2312"/>
                <w:color w:val="000000" w:themeColor="text1"/>
                <w:sz w:val="24"/>
                <w:szCs w:val="24"/>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204" w:type="dxa"/>
            <w:gridSpan w:val="2"/>
            <w:vMerge w:val="continue"/>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T</w:t>
            </w:r>
          </w:p>
        </w:tc>
        <w:tc>
          <w:tcPr>
            <w:tcW w:w="1579" w:type="dxa"/>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T-1</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_GB2312" w:eastAsia="仿宋_GB2312" w:cs="仿宋_GB2312"/>
                <w:color w:val="000000" w:themeColor="text1"/>
                <w:sz w:val="24"/>
                <w:szCs w:val="24"/>
                <w14:textFill>
                  <w14:solidFill>
                    <w14:schemeClr w14:val="tx1"/>
                  </w14:solidFill>
                </w14:textFill>
              </w:rPr>
              <w:t>T-2</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_GB2312" w:eastAsia="仿宋_GB2312" w:cs="仿宋_GB2312"/>
                <w:color w:val="000000" w:themeColor="text1"/>
                <w:sz w:val="24"/>
                <w:szCs w:val="24"/>
                <w14:textFill>
                  <w14:solidFill>
                    <w14:schemeClr w14:val="tx1"/>
                  </w14:solidFill>
                </w14:textFill>
              </w:rPr>
              <w:t>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可用资本（数额）</w:t>
            </w:r>
          </w:p>
        </w:tc>
        <w:tc>
          <w:tcPr>
            <w:tcW w:w="1579" w:type="dxa"/>
            <w:shd w:val="clear" w:color="000000" w:fill="D9D9D9"/>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核心一级资本净额</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863427.74</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w:t>
            </w:r>
            <w:r>
              <w:rPr>
                <w:rFonts w:ascii="仿宋_GB2312" w:eastAsia="仿宋_GB2312" w:cs="仿宋_GB2312"/>
                <w:color w:val="000000" w:themeColor="text1"/>
                <w:sz w:val="24"/>
                <w:szCs w:val="24"/>
                <w14:textFill>
                  <w14:solidFill>
                    <w14:schemeClr w14:val="tx1"/>
                  </w14:solidFill>
                </w14:textFill>
              </w:rPr>
              <w:t>25177.69</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808836.00</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780233.18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一级资本净额</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863427.74</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825177.69</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808836.00</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780233.18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3</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资本净额</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937743.83</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w:t>
            </w:r>
            <w:r>
              <w:rPr>
                <w:rFonts w:ascii="仿宋_GB2312" w:eastAsia="仿宋_GB2312" w:cs="仿宋_GB2312"/>
                <w:color w:val="000000" w:themeColor="text1"/>
                <w:sz w:val="24"/>
                <w:szCs w:val="24"/>
                <w14:textFill>
                  <w14:solidFill>
                    <w14:schemeClr w14:val="tx1"/>
                  </w14:solidFill>
                </w14:textFill>
              </w:rPr>
              <w:t>98014.01</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880931.02</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851225.47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风险加权资产（数额）</w:t>
            </w:r>
          </w:p>
        </w:tc>
        <w:tc>
          <w:tcPr>
            <w:tcW w:w="1579" w:type="dxa"/>
            <w:shd w:val="clear" w:color="000000" w:fill="D9D9D9"/>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80" w:type="dxa"/>
            <w:shd w:val="clear" w:color="000000" w:fill="D9D9D9"/>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4</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风险加权资产</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6380817.86</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6</w:t>
            </w:r>
            <w:r>
              <w:rPr>
                <w:rFonts w:ascii="仿宋_GB2312" w:eastAsia="仿宋_GB2312" w:cs="仿宋_GB2312"/>
                <w:color w:val="000000" w:themeColor="text1"/>
                <w:sz w:val="24"/>
                <w:szCs w:val="24"/>
                <w14:textFill>
                  <w14:solidFill>
                    <w14:schemeClr w14:val="tx1"/>
                  </w14:solidFill>
                </w14:textFill>
              </w:rPr>
              <w:t>238672.09</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6221049.73</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仿宋_GB2312"/>
                <w:color w:val="auto"/>
                <w:sz w:val="24"/>
                <w:szCs w:val="24"/>
                <w:lang w:val="en-US" w:eastAsia="zh-CN"/>
              </w:rPr>
            </w:pPr>
            <w:r>
              <w:rPr>
                <w:rFonts w:hint="eastAsia" w:ascii="仿宋_GB2312" w:eastAsia="仿宋_GB2312" w:cs="仿宋_GB2312"/>
                <w:color w:val="auto"/>
                <w:sz w:val="24"/>
                <w:szCs w:val="24"/>
                <w:lang w:val="en-US" w:eastAsia="zh-CN"/>
              </w:rPr>
              <w:t>6145668.01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资本充足率</w:t>
            </w:r>
          </w:p>
        </w:tc>
        <w:tc>
          <w:tcPr>
            <w:tcW w:w="1579"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5</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核心一级资本充足率（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13.53</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1</w:t>
            </w:r>
            <w:r>
              <w:rPr>
                <w:rFonts w:ascii="仿宋_GB2312" w:eastAsia="仿宋_GB2312" w:cs="仿宋_GB2312"/>
                <w:color w:val="000000" w:themeColor="text1"/>
                <w:sz w:val="24"/>
                <w:szCs w:val="24"/>
                <w14:textFill>
                  <w14:solidFill>
                    <w14:schemeClr w14:val="tx1"/>
                  </w14:solidFill>
                </w14:textFill>
              </w:rPr>
              <w:t>3.23</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13.00</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仿宋_GB2312"/>
                <w:color w:val="auto"/>
                <w:sz w:val="24"/>
                <w:szCs w:val="24"/>
                <w:lang w:val="en-US" w:eastAsia="zh-CN"/>
              </w:rPr>
            </w:pPr>
            <w:r>
              <w:rPr>
                <w:rFonts w:hint="eastAsia" w:ascii="仿宋_GB2312" w:eastAsia="仿宋_GB2312" w:cs="仿宋_GB2312"/>
                <w:color w:val="auto"/>
                <w:sz w:val="24"/>
                <w:szCs w:val="24"/>
              </w:rPr>
              <w:t>1</w:t>
            </w:r>
            <w:r>
              <w:rPr>
                <w:rFonts w:hint="eastAsia" w:ascii="仿宋_GB2312" w:eastAsia="仿宋_GB2312" w:cs="仿宋_GB2312"/>
                <w:color w:val="auto"/>
                <w:sz w:val="24"/>
                <w:szCs w:val="24"/>
                <w:lang w:val="en-US" w:eastAsia="zh-CN"/>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6</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13.53</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宋体"/>
                <w:color w:val="000000"/>
                <w:sz w:val="24"/>
                <w:szCs w:val="24"/>
              </w:rPr>
            </w:pPr>
            <w:r>
              <w:rPr>
                <w:rFonts w:hint="eastAsia" w:ascii="仿宋_GB2312" w:eastAsia="仿宋_GB2312" w:cs="仿宋_GB2312"/>
                <w:color w:val="000000" w:themeColor="text1"/>
                <w:sz w:val="24"/>
                <w:szCs w:val="24"/>
                <w14:textFill>
                  <w14:solidFill>
                    <w14:schemeClr w14:val="tx1"/>
                  </w14:solidFill>
                </w14:textFill>
              </w:rPr>
              <w:t>1</w:t>
            </w:r>
            <w:r>
              <w:rPr>
                <w:rFonts w:ascii="仿宋_GB2312" w:eastAsia="仿宋_GB2312" w:cs="仿宋_GB2312"/>
                <w:color w:val="000000" w:themeColor="text1"/>
                <w:sz w:val="24"/>
                <w:szCs w:val="24"/>
                <w14:textFill>
                  <w14:solidFill>
                    <w14:schemeClr w14:val="tx1"/>
                  </w14:solidFill>
                </w14:textFill>
              </w:rPr>
              <w:t>3.23</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宋体"/>
                <w:color w:val="000000"/>
                <w:sz w:val="24"/>
                <w:szCs w:val="24"/>
              </w:rPr>
              <w:t>13.00</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color w:val="auto"/>
                <w:sz w:val="24"/>
                <w:szCs w:val="24"/>
                <w:lang w:val="en-US" w:eastAsia="zh-CN"/>
              </w:rPr>
            </w:pPr>
            <w:r>
              <w:rPr>
                <w:rFonts w:hint="eastAsia" w:ascii="仿宋_GB2312" w:eastAsia="仿宋_GB2312" w:cs="宋体"/>
                <w:color w:val="auto"/>
                <w:sz w:val="24"/>
                <w:szCs w:val="24"/>
                <w:lang w:val="en-US" w:eastAsia="zh-CN"/>
              </w:rPr>
              <w:t>12.70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7</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14.7</w:t>
            </w:r>
            <w:r>
              <w:rPr>
                <w:rFonts w:ascii="仿宋_GB2312" w:hAnsi="仿宋" w:eastAsia="仿宋_GB2312" w:cs="Arial Unicode MS"/>
                <w:color w:val="000000" w:themeColor="text1"/>
                <w:sz w:val="24"/>
                <w:szCs w:val="24"/>
                <w14:textFill>
                  <w14:solidFill>
                    <w14:schemeClr w14:val="tx1"/>
                  </w14:solidFill>
                </w14:textFill>
              </w:rPr>
              <w:t>0</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1</w:t>
            </w:r>
            <w:r>
              <w:rPr>
                <w:rFonts w:ascii="仿宋_GB2312" w:eastAsia="仿宋_GB2312" w:cs="仿宋_GB2312"/>
                <w:color w:val="000000" w:themeColor="text1"/>
                <w:sz w:val="24"/>
                <w:szCs w:val="24"/>
                <w14:textFill>
                  <w14:solidFill>
                    <w14:schemeClr w14:val="tx1"/>
                  </w14:solidFill>
                </w14:textFill>
              </w:rPr>
              <w:t>4.39</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eastAsia="仿宋_GB2312" w:cs="仿宋_GB2312"/>
                <w:color w:val="000000" w:themeColor="text1"/>
                <w:sz w:val="24"/>
                <w:szCs w:val="24"/>
                <w14:textFill>
                  <w14:solidFill>
                    <w14:schemeClr w14:val="tx1"/>
                  </w14:solidFill>
                </w14:textFill>
              </w:rPr>
              <w:t>14.16</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仿宋_GB2312"/>
                <w:color w:val="auto"/>
                <w:sz w:val="24"/>
                <w:szCs w:val="24"/>
                <w:lang w:val="en-US" w:eastAsia="zh-CN"/>
              </w:rPr>
            </w:pPr>
            <w:r>
              <w:rPr>
                <w:rFonts w:hint="eastAsia" w:ascii="仿宋_GB2312" w:eastAsia="仿宋_GB2312" w:cs="仿宋_GB2312"/>
                <w:color w:val="auto"/>
                <w:sz w:val="24"/>
                <w:szCs w:val="24"/>
                <w:lang w:val="en-US" w:eastAsia="zh-CN"/>
              </w:rPr>
              <w:t>13.85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 w:eastAsia="仿宋_GB2312" w:cs="Arial Unicode MS"/>
                <w:b/>
                <w:bC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其他各级资本要求</w:t>
            </w:r>
          </w:p>
        </w:tc>
        <w:tc>
          <w:tcPr>
            <w:tcW w:w="1579"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8</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储备资本要求</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仿宋" w:eastAsia="仿宋_GB2312" w:cs="Arial Unicode MS"/>
                <w:sz w:val="24"/>
                <w:szCs w:val="24"/>
                <w:lang w:val="en-US" w:eastAsia="zh-CN"/>
              </w:rPr>
            </w:pPr>
            <w:r>
              <w:rPr>
                <w:rFonts w:hint="eastAsia" w:ascii="仿宋_GB2312" w:hAnsi="仿宋" w:eastAsia="仿宋_GB2312" w:cs="Arial Unicode MS"/>
                <w:sz w:val="24"/>
                <w:szCs w:val="24"/>
                <w:lang w:val="en-US" w:eastAsia="zh-CN"/>
              </w:rPr>
              <w:t>2.5</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仿宋" w:eastAsia="仿宋_GB2312" w:cs="Arial Unicode MS"/>
                <w:sz w:val="24"/>
                <w:szCs w:val="24"/>
                <w:lang w:val="en-US" w:eastAsia="zh-CN"/>
              </w:rPr>
            </w:pPr>
            <w:r>
              <w:rPr>
                <w:rFonts w:hint="eastAsia" w:ascii="仿宋_GB2312" w:hAnsi="仿宋" w:eastAsia="仿宋_GB2312" w:cs="Arial Unicode MS"/>
                <w:sz w:val="24"/>
                <w:szCs w:val="24"/>
                <w:lang w:val="en-US" w:eastAsia="zh-CN"/>
              </w:rPr>
              <w:t>2.5</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sz w:val="24"/>
                <w:szCs w:val="24"/>
                <w:lang w:val="en-US" w:eastAsia="zh-CN"/>
              </w:rPr>
            </w:pPr>
            <w:r>
              <w:rPr>
                <w:rFonts w:hint="eastAsia" w:ascii="仿宋_GB2312" w:eastAsia="仿宋_GB2312" w:cs="宋体"/>
                <w:sz w:val="24"/>
                <w:szCs w:val="24"/>
                <w:lang w:val="en-US" w:eastAsia="zh-CN"/>
              </w:rPr>
              <w:t>2.5</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sz w:val="24"/>
                <w:szCs w:val="24"/>
                <w:lang w:val="en-US" w:eastAsia="zh-CN"/>
              </w:rPr>
            </w:pPr>
            <w:r>
              <w:rPr>
                <w:rFonts w:hint="eastAsia" w:ascii="仿宋_GB2312" w:eastAsia="仿宋_GB2312" w:cs="宋体"/>
                <w:sz w:val="24"/>
                <w:szCs w:val="24"/>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9</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逆周期资本要求（</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cs="Arial Unicode MS"/>
                <w:sz w:val="24"/>
                <w:szCs w:val="24"/>
                <w:lang w:val="en-US" w:eastAsia="zh-CN"/>
              </w:rPr>
            </w:pPr>
            <w:r>
              <w:rPr>
                <w:rFonts w:hint="eastAsia" w:ascii="仿宋_GB2312" w:hAnsi="仿宋" w:eastAsia="仿宋_GB2312" w:cs="Arial Unicode MS"/>
                <w:sz w:val="24"/>
                <w:szCs w:val="24"/>
                <w:lang w:val="en-US" w:eastAsia="zh-CN"/>
              </w:rPr>
              <w:t>0</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eastAsia="仿宋_GB2312" w:cs="宋体"/>
                <w:sz w:val="24"/>
                <w:szCs w:val="24"/>
                <w:lang w:val="en-US" w:eastAsia="zh-CN"/>
              </w:rPr>
            </w:pPr>
            <w:r>
              <w:rPr>
                <w:rFonts w:hint="eastAsia" w:ascii="仿宋_GB2312" w:eastAsia="仿宋_GB2312" w:cs="宋体"/>
                <w:sz w:val="24"/>
                <w:szCs w:val="24"/>
                <w:lang w:val="en-US" w:eastAsia="zh-CN"/>
              </w:rPr>
              <w:t>0</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eastAsia="仿宋_GB2312" w:cs="宋体"/>
                <w:sz w:val="24"/>
                <w:szCs w:val="24"/>
                <w:lang w:val="en-US" w:eastAsia="zh-CN"/>
              </w:rPr>
            </w:pPr>
            <w:r>
              <w:rPr>
                <w:rFonts w:hint="eastAsia" w:ascii="仿宋_GB2312" w:eastAsia="仿宋_GB2312" w:cs="宋体"/>
                <w:sz w:val="24"/>
                <w:szCs w:val="24"/>
                <w:lang w:val="en-US" w:eastAsia="zh-CN"/>
              </w:rPr>
              <w:t>0</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eastAsia="仿宋_GB2312" w:cs="宋体"/>
                <w:sz w:val="24"/>
                <w:szCs w:val="24"/>
                <w:lang w:val="en-US" w:eastAsia="zh-CN"/>
              </w:rPr>
            </w:pPr>
            <w:r>
              <w:rPr>
                <w:rFonts w:hint="eastAsia" w:ascii="仿宋_GB2312" w:eastAsia="仿宋_GB2312" w:cs="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10</w:t>
            </w:r>
          </w:p>
        </w:tc>
        <w:tc>
          <w:tcPr>
            <w:tcW w:w="1579"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全球系统重要性银行或国内系统重要性银行附加资本要求（</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shd w:val="clear" w:color="auto" w:fill="BEBEB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sz w:val="24"/>
                <w:szCs w:val="24"/>
              </w:rPr>
            </w:pPr>
          </w:p>
        </w:tc>
        <w:tc>
          <w:tcPr>
            <w:tcW w:w="1579" w:type="dxa"/>
            <w:shd w:val="clear" w:color="auto" w:fill="BEBEB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sz w:val="24"/>
                <w:szCs w:val="24"/>
              </w:rPr>
            </w:pPr>
          </w:p>
        </w:tc>
        <w:tc>
          <w:tcPr>
            <w:tcW w:w="1580" w:type="dxa"/>
            <w:shd w:val="clear" w:color="auto" w:fill="BEBEB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sz w:val="24"/>
                <w:szCs w:val="24"/>
              </w:rPr>
            </w:pPr>
          </w:p>
        </w:tc>
        <w:tc>
          <w:tcPr>
            <w:tcW w:w="1580" w:type="dxa"/>
            <w:shd w:val="clear" w:color="auto" w:fill="BEBEB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11</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其他各级资本要求（</w:t>
            </w:r>
            <w:r>
              <w:rPr>
                <w:rFonts w:ascii="仿宋_GB2312" w:hAnsi="仿宋" w:eastAsia="仿宋_GB2312" w:cs="Arial Unicode MS"/>
                <w:color w:val="000000" w:themeColor="text1"/>
                <w:sz w:val="24"/>
                <w:szCs w:val="24"/>
                <w14:textFill>
                  <w14:solidFill>
                    <w14:schemeClr w14:val="tx1"/>
                  </w14:solidFill>
                </w14:textFill>
              </w:rPr>
              <w:t>%）（8+9+10）</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sz w:val="24"/>
                <w:szCs w:val="24"/>
                <w:lang w:val="en-US" w:eastAsia="zh-CN"/>
              </w:rPr>
            </w:pPr>
            <w:r>
              <w:rPr>
                <w:rFonts w:hint="eastAsia" w:ascii="仿宋_GB2312" w:eastAsia="仿宋_GB2312" w:cs="宋体"/>
                <w:sz w:val="24"/>
                <w:szCs w:val="24"/>
                <w:lang w:val="en-US" w:eastAsia="zh-CN"/>
              </w:rPr>
              <w:t>2.5</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sz w:val="24"/>
                <w:szCs w:val="24"/>
                <w:lang w:val="en-US" w:eastAsia="zh-CN"/>
              </w:rPr>
            </w:pPr>
            <w:r>
              <w:rPr>
                <w:rFonts w:hint="eastAsia" w:ascii="仿宋_GB2312" w:eastAsia="仿宋_GB2312" w:cs="宋体"/>
                <w:sz w:val="24"/>
                <w:szCs w:val="24"/>
                <w:lang w:val="en-US" w:eastAsia="zh-CN"/>
              </w:rPr>
              <w:t>2.5</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sz w:val="24"/>
                <w:szCs w:val="24"/>
                <w:lang w:val="en-US" w:eastAsia="zh-CN"/>
              </w:rPr>
            </w:pPr>
            <w:r>
              <w:rPr>
                <w:rFonts w:hint="eastAsia" w:ascii="仿宋_GB2312" w:eastAsia="仿宋_GB2312" w:cs="宋体"/>
                <w:sz w:val="24"/>
                <w:szCs w:val="24"/>
                <w:lang w:val="en-US" w:eastAsia="zh-CN"/>
              </w:rPr>
              <w:t>2.5</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sz w:val="24"/>
                <w:szCs w:val="24"/>
                <w:lang w:val="en-US" w:eastAsia="zh-CN"/>
              </w:rPr>
            </w:pPr>
            <w:r>
              <w:rPr>
                <w:rFonts w:hint="eastAsia" w:ascii="仿宋_GB2312" w:eastAsia="仿宋_GB2312" w:cs="宋体"/>
                <w:sz w:val="24"/>
                <w:szCs w:val="24"/>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12</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满足最低资本要求后的可用核心一级资本净额占风险加权资产的比例（</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仿宋" w:eastAsia="仿宋_GB2312" w:cs="Arial Unicode MS"/>
                <w:sz w:val="24"/>
                <w:szCs w:val="24"/>
                <w:lang w:val="en-US" w:eastAsia="zh-CN"/>
              </w:rPr>
            </w:pPr>
            <w:r>
              <w:rPr>
                <w:rFonts w:hint="eastAsia" w:ascii="仿宋_GB2312" w:hAnsi="仿宋" w:eastAsia="仿宋_GB2312" w:cs="Arial Unicode MS"/>
                <w:sz w:val="24"/>
                <w:szCs w:val="24"/>
                <w:lang w:val="en-US" w:eastAsia="zh-CN"/>
              </w:rPr>
              <w:t>6.70</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sz w:val="24"/>
                <w:szCs w:val="24"/>
                <w:lang w:val="en-US" w:eastAsia="zh-CN"/>
              </w:rPr>
            </w:pPr>
            <w:r>
              <w:rPr>
                <w:rFonts w:hint="eastAsia" w:ascii="仿宋_GB2312" w:eastAsia="仿宋_GB2312" w:cs="宋体"/>
                <w:sz w:val="24"/>
                <w:szCs w:val="24"/>
                <w:lang w:val="en-US" w:eastAsia="zh-CN"/>
              </w:rPr>
              <w:t>6.39</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sz w:val="24"/>
                <w:szCs w:val="24"/>
                <w:lang w:val="en-US" w:eastAsia="zh-CN"/>
              </w:rPr>
            </w:pPr>
            <w:r>
              <w:rPr>
                <w:rFonts w:hint="eastAsia" w:ascii="仿宋_GB2312" w:eastAsia="仿宋_GB2312" w:cs="宋体"/>
                <w:sz w:val="24"/>
                <w:szCs w:val="24"/>
                <w:lang w:val="en-US" w:eastAsia="zh-CN"/>
              </w:rPr>
              <w:t>6.16</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宋体"/>
                <w:sz w:val="24"/>
                <w:szCs w:val="24"/>
                <w:lang w:val="en-US" w:eastAsia="zh-CN"/>
              </w:rPr>
            </w:pPr>
            <w:r>
              <w:rPr>
                <w:rFonts w:hint="eastAsia" w:ascii="仿宋_GB2312" w:eastAsia="仿宋_GB2312" w:cs="宋体"/>
                <w:sz w:val="24"/>
                <w:szCs w:val="24"/>
                <w:lang w:val="en-US" w:eastAsia="zh-CN"/>
              </w:rPr>
              <w:t>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sz w:val="24"/>
                <w:szCs w:val="24"/>
              </w:rPr>
            </w:pPr>
            <w:r>
              <w:rPr>
                <w:rFonts w:hint="eastAsia" w:ascii="仿宋_GB2312" w:hAnsi="仿宋" w:eastAsia="仿宋_GB2312" w:cs="Arial Unicode MS"/>
                <w:b/>
                <w:bCs/>
                <w:sz w:val="24"/>
                <w:szCs w:val="24"/>
              </w:rPr>
              <w:t>杠杆率</w:t>
            </w:r>
          </w:p>
        </w:tc>
        <w:tc>
          <w:tcPr>
            <w:tcW w:w="1579"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sz w:val="24"/>
                <w:szCs w:val="24"/>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sz w:val="24"/>
                <w:szCs w:val="24"/>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13</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调整后表内外资产余额</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auto"/>
                <w:sz w:val="24"/>
                <w:szCs w:val="24"/>
              </w:rPr>
            </w:pPr>
            <w:r>
              <w:rPr>
                <w:rFonts w:hint="eastAsia" w:ascii="仿宋_GB2312" w:eastAsia="仿宋_GB2312" w:cs="仿宋_GB2312"/>
                <w:color w:val="auto"/>
                <w:sz w:val="24"/>
                <w:szCs w:val="24"/>
              </w:rPr>
              <w:t>9734943.44</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auto"/>
                <w:sz w:val="24"/>
                <w:szCs w:val="24"/>
              </w:rPr>
            </w:pPr>
            <w:r>
              <w:rPr>
                <w:rFonts w:hint="eastAsia" w:ascii="仿宋_GB2312" w:eastAsia="仿宋_GB2312" w:cs="仿宋_GB2312"/>
                <w:color w:val="auto"/>
                <w:sz w:val="24"/>
                <w:szCs w:val="24"/>
              </w:rPr>
              <w:t>9349343.1</w:t>
            </w:r>
            <w:r>
              <w:rPr>
                <w:rFonts w:ascii="仿宋_GB2312" w:eastAsia="仿宋_GB2312" w:cs="仿宋_GB2312"/>
                <w:color w:val="auto"/>
                <w:sz w:val="24"/>
                <w:szCs w:val="24"/>
              </w:rPr>
              <w:t>0</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auto"/>
                <w:sz w:val="24"/>
                <w:szCs w:val="24"/>
              </w:rPr>
            </w:pPr>
            <w:r>
              <w:rPr>
                <w:rFonts w:hint="eastAsia" w:ascii="仿宋_GB2312" w:eastAsia="仿宋_GB2312" w:cs="仿宋_GB2312"/>
                <w:color w:val="auto"/>
                <w:sz w:val="24"/>
                <w:szCs w:val="24"/>
              </w:rPr>
              <w:t>9392649.57</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color w:val="auto"/>
                <w:sz w:val="24"/>
                <w:szCs w:val="24"/>
              </w:rPr>
            </w:pPr>
            <w:r>
              <w:rPr>
                <w:rFonts w:hint="eastAsia" w:ascii="仿宋_GB2312" w:eastAsia="仿宋_GB2312" w:cs="仿宋_GB2312"/>
                <w:color w:val="auto"/>
                <w:sz w:val="24"/>
                <w:szCs w:val="24"/>
              </w:rPr>
              <w:t>9411514.19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14</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杠杆率</w:t>
            </w:r>
            <w:r>
              <w:rPr>
                <w:rFonts w:hint="eastAsia" w:ascii="仿宋_GB2312" w:hAnsi="仿宋" w:eastAsia="仿宋_GB2312" w:cs="Arial Unicode MS"/>
                <w:color w:val="000000" w:themeColor="text1"/>
                <w:sz w:val="24"/>
                <w:szCs w:val="24"/>
                <w14:textFill>
                  <w14:solidFill>
                    <w14:schemeClr w14:val="tx1"/>
                  </w14:solidFill>
                </w14:textFill>
              </w:rPr>
              <w:t>（</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sz w:val="24"/>
                <w:szCs w:val="24"/>
              </w:rPr>
            </w:pPr>
            <w:r>
              <w:rPr>
                <w:rFonts w:hint="eastAsia" w:ascii="仿宋_GB2312" w:hAnsi="仿宋" w:eastAsia="仿宋_GB2312" w:cs="Arial Unicode MS"/>
                <w:sz w:val="24"/>
                <w:szCs w:val="24"/>
              </w:rPr>
              <w:t>8.87</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sz w:val="24"/>
                <w:szCs w:val="24"/>
              </w:rPr>
            </w:pPr>
            <w:r>
              <w:rPr>
                <w:rFonts w:hint="eastAsia" w:ascii="仿宋_GB2312" w:eastAsia="仿宋_GB2312" w:cs="仿宋_GB2312"/>
                <w:sz w:val="24"/>
                <w:szCs w:val="24"/>
              </w:rPr>
              <w:t>8.83</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sz w:val="24"/>
                <w:szCs w:val="24"/>
              </w:rPr>
            </w:pPr>
            <w:r>
              <w:rPr>
                <w:rFonts w:hint="eastAsia" w:ascii="仿宋_GB2312" w:eastAsia="仿宋_GB2312" w:cs="仿宋_GB2312"/>
                <w:sz w:val="24"/>
                <w:szCs w:val="24"/>
              </w:rPr>
              <w:t>8.61</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sz w:val="24"/>
                <w:szCs w:val="24"/>
              </w:rPr>
            </w:pPr>
            <w:r>
              <w:rPr>
                <w:rFonts w:hint="eastAsia" w:ascii="仿宋_GB2312" w:eastAsia="仿宋_GB2312" w:cs="仿宋_GB2312"/>
                <w:sz w:val="24"/>
                <w:szCs w:val="24"/>
              </w:rPr>
              <w:t>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1</w:t>
            </w:r>
            <w:r>
              <w:rPr>
                <w:rFonts w:ascii="仿宋_GB2312" w:hAnsi="仿宋" w:eastAsia="仿宋_GB2312" w:cs="Arial Unicode MS"/>
                <w:color w:val="000000" w:themeColor="text1"/>
                <w:sz w:val="24"/>
                <w:szCs w:val="24"/>
                <w14:textFill>
                  <w14:solidFill>
                    <w14:schemeClr w14:val="tx1"/>
                  </w14:solidFill>
                </w14:textFill>
              </w:rPr>
              <w:t>4</w:t>
            </w:r>
            <w:r>
              <w:rPr>
                <w:rFonts w:hint="eastAsia" w:ascii="仿宋_GB2312" w:hAnsi="仿宋" w:eastAsia="仿宋_GB2312" w:cs="Arial Unicode MS"/>
                <w:color w:val="000000" w:themeColor="text1"/>
                <w:sz w:val="24"/>
                <w:szCs w:val="24"/>
                <w14:textFill>
                  <w14:solidFill>
                    <w14:schemeClr w14:val="tx1"/>
                  </w14:solidFill>
                </w14:textFill>
              </w:rPr>
              <w:t>a</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杠杆率a</w:t>
            </w:r>
            <w:r>
              <w:rPr>
                <w:rFonts w:hint="eastAsia" w:ascii="仿宋_GB2312" w:hAnsi="仿宋" w:eastAsia="仿宋_GB2312" w:cs="Arial Unicode MS"/>
                <w:color w:val="000000" w:themeColor="text1"/>
                <w:sz w:val="24"/>
                <w:szCs w:val="24"/>
                <w14:textFill>
                  <w14:solidFill>
                    <w14:schemeClr w14:val="tx1"/>
                  </w14:solidFill>
                </w14:textFill>
              </w:rPr>
              <w:t>（</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sz w:val="24"/>
                <w:szCs w:val="24"/>
              </w:rPr>
            </w:pPr>
            <w:r>
              <w:rPr>
                <w:rFonts w:hint="eastAsia" w:ascii="仿宋_GB2312" w:hAnsi="仿宋" w:eastAsia="仿宋_GB2312" w:cs="Arial Unicode MS"/>
                <w:sz w:val="24"/>
                <w:szCs w:val="24"/>
              </w:rPr>
              <w:t>8.87</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sz w:val="24"/>
                <w:szCs w:val="24"/>
              </w:rPr>
            </w:pPr>
            <w:r>
              <w:rPr>
                <w:rFonts w:hint="eastAsia" w:ascii="仿宋_GB2312" w:eastAsia="仿宋_GB2312" w:cs="仿宋_GB2312"/>
                <w:sz w:val="24"/>
                <w:szCs w:val="24"/>
              </w:rPr>
              <w:t>8.83</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sz w:val="24"/>
                <w:szCs w:val="24"/>
              </w:rPr>
            </w:pPr>
            <w:r>
              <w:rPr>
                <w:rFonts w:hint="eastAsia" w:ascii="仿宋_GB2312" w:eastAsia="仿宋_GB2312" w:cs="仿宋_GB2312"/>
                <w:sz w:val="24"/>
                <w:szCs w:val="24"/>
              </w:rPr>
              <w:t>8.61</w:t>
            </w: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eastAsia="仿宋_GB2312" w:cs="仿宋_GB2312"/>
                <w:sz w:val="24"/>
                <w:szCs w:val="24"/>
              </w:rPr>
            </w:pPr>
            <w:r>
              <w:rPr>
                <w:rFonts w:hint="eastAsia" w:ascii="仿宋_GB2312" w:eastAsia="仿宋_GB2312" w:cs="仿宋_GB2312"/>
                <w:sz w:val="24"/>
                <w:szCs w:val="24"/>
              </w:rPr>
              <w:t>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流动性覆盖率</w:t>
            </w:r>
          </w:p>
        </w:tc>
        <w:tc>
          <w:tcPr>
            <w:tcW w:w="1579"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15</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合格优质流动性资产</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16</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现金净流出量</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17</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流动性覆盖率（</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净稳定资金比例</w:t>
            </w:r>
          </w:p>
        </w:tc>
        <w:tc>
          <w:tcPr>
            <w:tcW w:w="1579"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000000" w:fill="D9D9D9"/>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18</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可用稳定资金合计</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19</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所需稳定资金合计</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20</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净稳定资金比例（</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c>
          <w:tcPr>
            <w:tcW w:w="15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83" w:type="dxa"/>
            <w:gridSpan w:val="3"/>
            <w:shd w:val="clear" w:color="auto" w:fill="D8D8D8"/>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流动性比例</w:t>
            </w:r>
          </w:p>
        </w:tc>
        <w:tc>
          <w:tcPr>
            <w:tcW w:w="1579" w:type="dxa"/>
            <w:shd w:val="clear" w:color="auto" w:fill="D8D8D8"/>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auto" w:fill="D8D8D8"/>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c>
          <w:tcPr>
            <w:tcW w:w="1580" w:type="dxa"/>
            <w:shd w:val="clear" w:color="auto" w:fill="D8D8D8"/>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25"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21</w:t>
            </w:r>
          </w:p>
        </w:tc>
        <w:tc>
          <w:tcPr>
            <w:tcW w:w="1579"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流动性比例（</w:t>
            </w:r>
            <w:r>
              <w:rPr>
                <w:rFonts w:ascii="仿宋_GB2312" w:hAnsi="仿宋" w:eastAsia="仿宋_GB2312" w:cs="Arial Unicode MS"/>
                <w:color w:val="000000" w:themeColor="text1"/>
                <w:sz w:val="24"/>
                <w:szCs w:val="24"/>
                <w14:textFill>
                  <w14:solidFill>
                    <w14:schemeClr w14:val="tx1"/>
                  </w14:solidFill>
                </w14:textFill>
              </w:rPr>
              <w:t>%）</w:t>
            </w:r>
          </w:p>
        </w:tc>
        <w:tc>
          <w:tcPr>
            <w:tcW w:w="1579"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仿宋_GB2312"/>
                <w:sz w:val="24"/>
                <w:szCs w:val="24"/>
                <w:lang w:val="en-US" w:eastAsia="zh-CN"/>
              </w:rPr>
            </w:pPr>
            <w:r>
              <w:rPr>
                <w:rFonts w:hint="eastAsia" w:ascii="仿宋_GB2312" w:eastAsia="仿宋_GB2312" w:cs="仿宋_GB2312"/>
                <w:sz w:val="24"/>
                <w:szCs w:val="24"/>
                <w:lang w:val="en-US" w:eastAsia="zh-CN"/>
              </w:rPr>
              <w:t>62.48</w:t>
            </w:r>
          </w:p>
        </w:tc>
        <w:tc>
          <w:tcPr>
            <w:tcW w:w="1579"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仿宋_GB2312"/>
                <w:sz w:val="24"/>
                <w:szCs w:val="24"/>
                <w:lang w:val="en-US" w:eastAsia="zh-CN"/>
              </w:rPr>
            </w:pPr>
            <w:r>
              <w:rPr>
                <w:rFonts w:hint="eastAsia" w:ascii="仿宋_GB2312" w:eastAsia="仿宋_GB2312" w:cs="仿宋_GB2312"/>
                <w:sz w:val="24"/>
                <w:szCs w:val="24"/>
                <w:lang w:val="en-US" w:eastAsia="zh-CN"/>
              </w:rPr>
              <w:t>45.26</w:t>
            </w:r>
          </w:p>
        </w:tc>
        <w:tc>
          <w:tcPr>
            <w:tcW w:w="1580"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仿宋_GB2312"/>
                <w:sz w:val="24"/>
                <w:szCs w:val="24"/>
                <w:lang w:val="en-US" w:eastAsia="zh-CN"/>
              </w:rPr>
            </w:pPr>
            <w:r>
              <w:rPr>
                <w:rFonts w:hint="eastAsia" w:ascii="仿宋_GB2312" w:eastAsia="仿宋_GB2312" w:cs="仿宋_GB2312"/>
                <w:sz w:val="24"/>
                <w:szCs w:val="24"/>
                <w:lang w:val="en-US" w:eastAsia="zh-CN"/>
              </w:rPr>
              <w:t>53.93</w:t>
            </w:r>
          </w:p>
        </w:tc>
        <w:tc>
          <w:tcPr>
            <w:tcW w:w="1580" w:type="dxa"/>
            <w:shd w:val="clear" w:color="auto" w:fill="FFFFFF"/>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eastAsia="仿宋_GB2312" w:cs="仿宋_GB2312"/>
                <w:sz w:val="24"/>
                <w:szCs w:val="24"/>
                <w:lang w:val="en-US" w:eastAsia="zh-CN"/>
              </w:rPr>
            </w:pPr>
            <w:r>
              <w:rPr>
                <w:rFonts w:hint="eastAsia" w:ascii="仿宋_GB2312" w:eastAsia="仿宋_GB2312" w:cs="仿宋_GB2312"/>
                <w:sz w:val="24"/>
                <w:szCs w:val="24"/>
                <w:lang w:val="en-US" w:eastAsia="zh-CN"/>
              </w:rPr>
              <w:t>51.99</w:t>
            </w:r>
          </w:p>
        </w:tc>
      </w:tr>
    </w:tbl>
    <w:p/>
    <w:p>
      <w:pPr>
        <w:shd w:val="clear"/>
      </w:pPr>
    </w:p>
    <w:p>
      <w:pPr>
        <w:widowControl/>
        <w:shd w:val="clear" w:color="auto"/>
        <w:spacing w:line="193" w:lineRule="atLeast"/>
        <w:ind w:right="1284" w:firstLine="643" w:firstLineChars="20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附</w:t>
      </w:r>
      <w:r>
        <w:rPr>
          <w:rFonts w:hint="eastAsia" w:ascii="仿宋_GB2312" w:hAnsi="仿宋_GB2312" w:eastAsia="仿宋_GB2312" w:cs="仿宋_GB2312"/>
          <w:b/>
          <w:kern w:val="0"/>
          <w:sz w:val="32"/>
          <w:szCs w:val="32"/>
          <w:lang w:val="en-US" w:eastAsia="zh-CN"/>
        </w:rPr>
        <w:t>表</w:t>
      </w:r>
      <w:r>
        <w:rPr>
          <w:rFonts w:hint="eastAsia" w:ascii="仿宋_GB2312" w:hAnsi="仿宋_GB2312" w:eastAsia="仿宋_GB2312" w:cs="仿宋_GB2312"/>
          <w:b/>
          <w:kern w:val="0"/>
          <w:sz w:val="32"/>
          <w:szCs w:val="32"/>
        </w:rPr>
        <w:t>二：</w:t>
      </w:r>
      <w:r>
        <w:rPr>
          <w:rFonts w:ascii="仿宋_GB2312" w:hAnsi="仿宋_GB2312" w:eastAsia="仿宋_GB2312" w:cs="仿宋_GB2312"/>
          <w:b/>
          <w:kern w:val="0"/>
          <w:sz w:val="32"/>
          <w:szCs w:val="32"/>
        </w:rPr>
        <w:t>CC1</w:t>
      </w:r>
      <w:r>
        <w:rPr>
          <w:rFonts w:hint="eastAsia" w:ascii="仿宋_GB2312" w:hAnsi="仿宋_GB2312" w:eastAsia="仿宋_GB2312" w:cs="仿宋_GB2312"/>
          <w:b/>
          <w:kern w:val="0"/>
          <w:sz w:val="32"/>
          <w:szCs w:val="32"/>
        </w:rPr>
        <w:t>资本构成</w:t>
      </w:r>
    </w:p>
    <w:p>
      <w:pPr>
        <w:widowControl/>
        <w:shd w:val="clear" w:color="auto"/>
        <w:spacing w:line="193" w:lineRule="atLeast"/>
        <w:ind w:right="324"/>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单位：人民币万元</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w:t>
      </w:r>
    </w:p>
    <w:tbl>
      <w:tblPr>
        <w:tblStyle w:val="5"/>
        <w:tblW w:w="80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959"/>
        <w:gridCol w:w="2702"/>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455" w:type="dxa"/>
            <w:gridSpan w:val="2"/>
            <w:vMerge w:val="restart"/>
            <w:tcBorders>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　</w:t>
            </w:r>
          </w:p>
        </w:tc>
        <w:tc>
          <w:tcPr>
            <w:tcW w:w="2702" w:type="dxa"/>
            <w:tcBorders>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a</w:t>
            </w:r>
          </w:p>
        </w:tc>
        <w:tc>
          <w:tcPr>
            <w:tcW w:w="937" w:type="dxa"/>
            <w:tcBorders>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455" w:type="dxa"/>
            <w:gridSpan w:val="2"/>
            <w:vMerge w:val="continue"/>
            <w:tcBorders>
              <w:top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rPr>
              <w:t>数额</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b/>
                <w:bCs/>
                <w:color w:val="auto"/>
                <w:sz w:val="24"/>
                <w:szCs w:val="24"/>
              </w:rPr>
              <w:t>核心一级资本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1</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实收资本和资本公积可计入部分</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103219.19</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e+g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2</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lang w:eastAsia="zh-TW"/>
              </w:rPr>
              <w:t>留存收益</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680450.28</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2a</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盈余公积</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327503.88</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2b</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一般风险准备</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195550.33</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2c</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未分配利润</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ascii="Times New Roman" w:hAnsi="Times New Roman" w:eastAsia="宋体" w:cs="Times New Roman"/>
                <w:color w:val="auto"/>
                <w:sz w:val="18"/>
                <w:szCs w:val="18"/>
              </w:rPr>
            </w:pPr>
            <w:r>
              <w:rPr>
                <w:rFonts w:ascii="仿宋_GB2312" w:hAnsi="宋体" w:eastAsia="仿宋_GB2312" w:cs="宋体"/>
                <w:color w:val="auto"/>
                <w:sz w:val="24"/>
                <w:szCs w:val="24"/>
              </w:rPr>
              <w:t>157396.07</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3</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累计其他综合收益</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79800.71</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4</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少数股东资本可计入部分</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5</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rPr>
              <w:t>扣除前的核心一级资本</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863470.18</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FFFFFF" w:themeFill="background1"/>
            <w:vAlign w:val="center"/>
          </w:tcPr>
          <w:p>
            <w:pPr>
              <w:keepNext w:val="0"/>
              <w:keepLines w:val="0"/>
              <w:pageBreakBefore w:val="0"/>
              <w:kinsoku/>
              <w:wordWrap/>
              <w:overflowPunct/>
              <w:topLinePunct w:val="0"/>
              <w:autoSpaceDE/>
              <w:autoSpaceDN/>
              <w:bidi w:val="0"/>
              <w:adjustRightInd/>
              <w:snapToGrid/>
              <w:spacing w:line="240" w:lineRule="auto"/>
              <w:jc w:val="both"/>
              <w:rPr>
                <w:rFonts w:ascii="仿宋_GB2312" w:hAnsi="宋体" w:eastAsia="仿宋_GB2312" w:cs="宋体"/>
                <w:color w:val="auto"/>
                <w:sz w:val="24"/>
                <w:szCs w:val="24"/>
              </w:rPr>
            </w:pPr>
            <w:r>
              <w:rPr>
                <w:rFonts w:hint="eastAsia" w:ascii="仿宋_GB2312" w:hAnsi="宋体" w:eastAsia="仿宋_GB2312" w:cs="宋体"/>
                <w:b/>
                <w:bCs/>
                <w:color w:val="auto"/>
                <w:sz w:val="24"/>
                <w:szCs w:val="24"/>
              </w:rPr>
              <w:t>核心一级资本：扣除项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6</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highlight w:val="yellow"/>
              </w:rPr>
            </w:pPr>
            <w:r>
              <w:rPr>
                <w:rFonts w:hint="eastAsia" w:ascii="仿宋_GB2312" w:hAnsi="宋体" w:eastAsia="仿宋_GB2312" w:cs="宋体"/>
                <w:color w:val="auto"/>
                <w:sz w:val="24"/>
                <w:szCs w:val="24"/>
                <w:lang w:eastAsia="zh-TW"/>
              </w:rPr>
              <w:t>审慎估值调整</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7</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商誉（扣除递延税负债）</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8</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其他无形资产（土地使用权除外）（扣除递延税负债）</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42.44</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b-d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9</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依赖未来盈利的由经营亏损引起的净递延税资产</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1</w:t>
            </w:r>
            <w:r>
              <w:rPr>
                <w:rFonts w:hint="eastAsia" w:ascii="仿宋_GB2312" w:eastAsia="仿宋_GB2312"/>
                <w:color w:val="auto"/>
                <w:sz w:val="24"/>
                <w:szCs w:val="24"/>
              </w:rPr>
              <w:t>0</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对未按公允价值计量的项目进行套期形成的现金流储备</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1</w:t>
            </w:r>
            <w:r>
              <w:rPr>
                <w:rFonts w:hint="eastAsia" w:ascii="仿宋_GB2312" w:eastAsia="仿宋_GB2312"/>
                <w:color w:val="auto"/>
                <w:sz w:val="24"/>
                <w:szCs w:val="24"/>
              </w:rPr>
              <w:t>1</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lang w:eastAsia="zh-TW"/>
              </w:rPr>
              <w:t>损失准备缺口</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1</w:t>
            </w:r>
            <w:r>
              <w:rPr>
                <w:rFonts w:hint="eastAsia" w:ascii="仿宋_GB2312" w:eastAsia="仿宋_GB2312"/>
                <w:color w:val="auto"/>
                <w:sz w:val="24"/>
                <w:szCs w:val="24"/>
              </w:rPr>
              <w:t>2</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lang w:eastAsia="zh-TW"/>
              </w:rPr>
              <w:t>资产证券化销售利得</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1</w:t>
            </w:r>
            <w:r>
              <w:rPr>
                <w:rFonts w:hint="eastAsia" w:ascii="仿宋_GB2312" w:eastAsia="仿宋_GB2312"/>
                <w:color w:val="auto"/>
                <w:sz w:val="24"/>
                <w:szCs w:val="24"/>
              </w:rPr>
              <w:t>3</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自身信用风险变化导致其负债公允价值变化带来的未实现损益</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1</w:t>
            </w:r>
            <w:r>
              <w:rPr>
                <w:rFonts w:hint="eastAsia" w:ascii="仿宋_GB2312" w:eastAsia="仿宋_GB2312"/>
                <w:color w:val="auto"/>
                <w:sz w:val="24"/>
                <w:szCs w:val="24"/>
              </w:rPr>
              <w:t>4</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确定受益类的养老金资产净额（扣除递延税负债）</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1</w:t>
            </w:r>
            <w:r>
              <w:rPr>
                <w:rFonts w:hint="eastAsia" w:ascii="仿宋_GB2312" w:eastAsia="仿宋_GB2312"/>
                <w:color w:val="auto"/>
                <w:sz w:val="24"/>
                <w:szCs w:val="24"/>
              </w:rPr>
              <w:t>5</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直接或间接持有本银行的股票</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1</w:t>
            </w:r>
            <w:r>
              <w:rPr>
                <w:rFonts w:hint="eastAsia" w:ascii="仿宋_GB2312" w:eastAsia="仿宋_GB2312"/>
                <w:color w:val="auto"/>
                <w:sz w:val="24"/>
                <w:szCs w:val="24"/>
              </w:rPr>
              <w:t>6</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银行间或银行与其他金融机构间通过协议相互持有的核心一级资本</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1</w:t>
            </w:r>
            <w:r>
              <w:rPr>
                <w:rFonts w:hint="eastAsia" w:ascii="仿宋_GB2312" w:eastAsia="仿宋_GB2312"/>
                <w:color w:val="auto"/>
                <w:sz w:val="24"/>
                <w:szCs w:val="24"/>
              </w:rPr>
              <w:t>7</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对未并表金融机构小额少数资本投资中的核心一级资本中应扣除金额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1</w:t>
            </w:r>
            <w:r>
              <w:rPr>
                <w:rFonts w:hint="eastAsia" w:ascii="仿宋_GB2312" w:eastAsia="仿宋_GB2312"/>
                <w:color w:val="auto"/>
                <w:sz w:val="24"/>
                <w:szCs w:val="24"/>
              </w:rPr>
              <w:t>8</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对未并表金融机构大额少数资本投资中的核心一级资本中应扣除金额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19</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其他依赖于银行未来盈利的净递延税资产中应扣除金额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20</w:t>
            </w:r>
          </w:p>
        </w:tc>
        <w:tc>
          <w:tcPr>
            <w:tcW w:w="395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对未并表金融机构大额少数资本投资中的核心一级资本和其他依赖于银行未来盈利的净递延税资产的未扣除部分超过核心一级资本</w:t>
            </w:r>
            <w:r>
              <w:rPr>
                <w:rFonts w:ascii="仿宋_GB2312" w:hAnsi="Calibri" w:eastAsia="仿宋_GB2312" w:cs="Calibri"/>
                <w:color w:val="auto"/>
                <w:sz w:val="24"/>
                <w:szCs w:val="24"/>
              </w:rPr>
              <w:t>15%</w:t>
            </w:r>
            <w:r>
              <w:rPr>
                <w:rFonts w:hint="eastAsia" w:ascii="仿宋_GB2312" w:hAnsi="宋体" w:eastAsia="仿宋_GB2312" w:cs="宋体"/>
                <w:color w:val="auto"/>
                <w:sz w:val="24"/>
                <w:szCs w:val="24"/>
              </w:rPr>
              <w:t>的应扣除金额</w:t>
            </w:r>
          </w:p>
        </w:tc>
        <w:tc>
          <w:tcPr>
            <w:tcW w:w="270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single" w:color="auto" w:sz="4" w:space="0"/>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21</w:t>
            </w:r>
          </w:p>
        </w:tc>
        <w:tc>
          <w:tcPr>
            <w:tcW w:w="395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Calibri" w:eastAsia="仿宋_GB2312" w:cs="Calibri"/>
                <w:color w:val="auto"/>
                <w:sz w:val="24"/>
                <w:szCs w:val="24"/>
              </w:rPr>
            </w:pPr>
            <w:r>
              <w:rPr>
                <w:rFonts w:ascii="仿宋_GB2312" w:hAnsi="Calibri" w:eastAsia="仿宋_GB2312" w:cs="Calibri"/>
                <w:color w:val="auto"/>
                <w:sz w:val="24"/>
                <w:szCs w:val="24"/>
              </w:rPr>
              <w:t xml:space="preserve">    </w:t>
            </w:r>
            <w:r>
              <w:rPr>
                <w:rFonts w:hint="eastAsia" w:ascii="仿宋_GB2312" w:hAnsi="宋体" w:eastAsia="仿宋_GB2312" w:cs="Calibri"/>
                <w:color w:val="auto"/>
                <w:sz w:val="24"/>
                <w:szCs w:val="24"/>
              </w:rPr>
              <w:t>其中：应在对金融机构大额少数资本投资中扣除的金额</w:t>
            </w:r>
          </w:p>
        </w:tc>
        <w:tc>
          <w:tcPr>
            <w:tcW w:w="270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single" w:color="auto" w:sz="4" w:space="0"/>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22</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Calibri" w:eastAsia="仿宋_GB2312" w:cs="Calibri"/>
                <w:color w:val="auto"/>
                <w:sz w:val="24"/>
                <w:szCs w:val="24"/>
              </w:rPr>
            </w:pPr>
            <w:r>
              <w:rPr>
                <w:rFonts w:ascii="仿宋_GB2312" w:hAnsi="Calibri" w:eastAsia="仿宋_GB2312" w:cs="Calibri"/>
                <w:color w:val="auto"/>
                <w:sz w:val="24"/>
                <w:szCs w:val="24"/>
              </w:rPr>
              <w:t xml:space="preserve">    </w:t>
            </w:r>
            <w:r>
              <w:rPr>
                <w:rFonts w:hint="eastAsia" w:ascii="仿宋_GB2312" w:hAnsi="宋体" w:eastAsia="仿宋_GB2312" w:cs="Calibri"/>
                <w:color w:val="auto"/>
                <w:sz w:val="24"/>
                <w:szCs w:val="24"/>
              </w:rPr>
              <w:t>其中：应在其他依赖于银行未来盈利的净递延税资产中扣除的金额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23</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其他应在核心一级资本中扣除的项目合计</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24</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应从其他一级资本和二级资本中扣除的未扣缺口</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25</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color w:val="auto"/>
                <w:sz w:val="24"/>
                <w:szCs w:val="24"/>
              </w:rPr>
            </w:pPr>
            <w:r>
              <w:rPr>
                <w:rFonts w:hint="eastAsia" w:ascii="仿宋_GB2312" w:hAnsi="宋体" w:eastAsia="仿宋_GB2312" w:cs="宋体"/>
                <w:b/>
                <w:color w:val="auto"/>
                <w:sz w:val="24"/>
                <w:szCs w:val="24"/>
              </w:rPr>
              <w:t>核心一级资本扣除项总和</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42.44</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26</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color w:val="auto"/>
                <w:sz w:val="24"/>
                <w:szCs w:val="24"/>
              </w:rPr>
            </w:pPr>
            <w:r>
              <w:rPr>
                <w:rFonts w:hint="eastAsia" w:ascii="仿宋_GB2312" w:hAnsi="宋体" w:eastAsia="仿宋_GB2312" w:cs="宋体"/>
                <w:b/>
                <w:color w:val="auto"/>
                <w:sz w:val="24"/>
                <w:szCs w:val="24"/>
                <w:lang w:eastAsia="zh-TW"/>
              </w:rPr>
              <w:t>核心一级资本</w:t>
            </w:r>
            <w:r>
              <w:rPr>
                <w:rFonts w:hint="eastAsia" w:ascii="仿宋_GB2312" w:hAnsi="宋体" w:eastAsia="仿宋_GB2312" w:cs="宋体"/>
                <w:b/>
                <w:color w:val="auto"/>
                <w:sz w:val="24"/>
                <w:szCs w:val="24"/>
              </w:rPr>
              <w:t>净额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863427.74</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rPr>
                <w:rFonts w:ascii="仿宋_GB2312" w:hAnsi="宋体" w:eastAsia="PMingLiU" w:cs="宋体"/>
                <w:color w:val="auto"/>
                <w:sz w:val="24"/>
                <w:szCs w:val="24"/>
              </w:rPr>
            </w:pPr>
            <w:r>
              <w:rPr>
                <w:rFonts w:hint="eastAsia" w:ascii="仿宋_GB2312" w:hAnsi="宋体" w:eastAsia="仿宋_GB2312" w:cs="宋体"/>
                <w:b/>
                <w:bCs/>
                <w:color w:val="auto"/>
                <w:sz w:val="24"/>
                <w:szCs w:val="24"/>
                <w:lang w:eastAsia="zh-TW"/>
              </w:rPr>
              <w:t>其他一级资本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27</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其他一级资本工具及其溢价</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28</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Calibri" w:eastAsia="仿宋_GB2312" w:cs="Calibri"/>
                <w:color w:val="auto"/>
                <w:sz w:val="24"/>
                <w:szCs w:val="24"/>
              </w:rPr>
            </w:pPr>
            <w:r>
              <w:rPr>
                <w:rFonts w:ascii="仿宋_GB2312" w:hAnsi="Calibri" w:eastAsia="仿宋_GB2312" w:cs="Calibri"/>
                <w:color w:val="auto"/>
                <w:sz w:val="24"/>
                <w:szCs w:val="24"/>
                <w:lang w:eastAsia="zh-TW"/>
              </w:rPr>
              <w:t xml:space="preserve">    </w:t>
            </w:r>
            <w:r>
              <w:rPr>
                <w:rFonts w:hint="eastAsia" w:ascii="仿宋_GB2312" w:hAnsi="宋体" w:eastAsia="仿宋_GB2312" w:cs="Calibri"/>
                <w:color w:val="auto"/>
                <w:sz w:val="24"/>
                <w:szCs w:val="24"/>
                <w:lang w:eastAsia="zh-TW"/>
              </w:rPr>
              <w:t>其中：权益部分</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29</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Calibri" w:eastAsia="仿宋_GB2312" w:cs="Calibri"/>
                <w:color w:val="auto"/>
                <w:sz w:val="24"/>
                <w:szCs w:val="24"/>
              </w:rPr>
            </w:pPr>
            <w:r>
              <w:rPr>
                <w:rFonts w:ascii="仿宋_GB2312" w:hAnsi="Calibri" w:eastAsia="仿宋_GB2312" w:cs="Calibri"/>
                <w:color w:val="auto"/>
                <w:sz w:val="24"/>
                <w:szCs w:val="24"/>
                <w:lang w:eastAsia="zh-TW"/>
              </w:rPr>
              <w:t xml:space="preserve">    </w:t>
            </w:r>
            <w:r>
              <w:rPr>
                <w:rFonts w:hint="eastAsia" w:ascii="仿宋_GB2312" w:hAnsi="宋体" w:eastAsia="仿宋_GB2312" w:cs="Calibri"/>
                <w:color w:val="auto"/>
                <w:sz w:val="24"/>
                <w:szCs w:val="24"/>
                <w:lang w:eastAsia="zh-TW"/>
              </w:rPr>
              <w:t>其中：负债部分</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30</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少数股东资本可计入部分</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31</w:t>
            </w:r>
          </w:p>
        </w:tc>
        <w:tc>
          <w:tcPr>
            <w:tcW w:w="395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color w:val="auto"/>
                <w:sz w:val="24"/>
                <w:szCs w:val="24"/>
              </w:rPr>
            </w:pPr>
            <w:r>
              <w:rPr>
                <w:rFonts w:hint="eastAsia" w:ascii="仿宋_GB2312" w:hAnsi="宋体" w:eastAsia="仿宋_GB2312" w:cs="宋体"/>
                <w:b/>
                <w:color w:val="auto"/>
                <w:sz w:val="24"/>
                <w:szCs w:val="24"/>
              </w:rPr>
              <w:t>扣除前的其他一级资本</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rPr>
                <w:rFonts w:ascii="仿宋_GB2312" w:hAnsi="宋体" w:eastAsia="仿宋_GB2312" w:cs="宋体"/>
                <w:color w:val="auto"/>
                <w:sz w:val="24"/>
                <w:szCs w:val="24"/>
              </w:rPr>
            </w:pPr>
            <w:r>
              <w:rPr>
                <w:rFonts w:hint="eastAsia" w:ascii="仿宋_GB2312" w:hAnsi="宋体" w:eastAsia="仿宋_GB2312" w:cs="宋体"/>
                <w:b/>
                <w:bCs/>
                <w:color w:val="auto"/>
                <w:sz w:val="24"/>
                <w:szCs w:val="24"/>
              </w:rPr>
              <w:t>其他一级资本</w:t>
            </w:r>
            <w:r>
              <w:rPr>
                <w:rFonts w:ascii="仿宋_GB2312" w:hAnsi="宋体" w:eastAsia="仿宋_GB2312" w:cs="宋体"/>
                <w:b/>
                <w:bCs/>
                <w:color w:val="auto"/>
                <w:sz w:val="24"/>
                <w:szCs w:val="24"/>
              </w:rPr>
              <w:t>:</w:t>
            </w:r>
            <w:r>
              <w:rPr>
                <w:rFonts w:hint="eastAsia" w:ascii="仿宋_GB2312" w:hAnsi="宋体" w:eastAsia="仿宋_GB2312" w:cs="宋体"/>
                <w:b/>
                <w:bCs/>
                <w:color w:val="auto"/>
                <w:sz w:val="24"/>
                <w:szCs w:val="24"/>
              </w:rPr>
              <w:t>扣除项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32</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直接或间接持有的本银行其他一级资本</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33</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银行间或银行与其他金融机构间通过协议相互持有的其他一级资本</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34</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对未并表金融机构小额少数资本投资中的其他一级资本中应扣除金额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35</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对未并表金融机构大额少数资本投资中的其他一级资本中应扣除金额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36</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其他应在其他一级资本中扣除的项目合计</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37</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应从二级资本中扣除的未扣缺口</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38</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rPr>
              <w:t>其他一级资本扣除项总和</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39</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lang w:eastAsia="zh-TW"/>
              </w:rPr>
              <w:t>其他一级资本净额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40</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lang w:eastAsia="zh-TW"/>
              </w:rPr>
              <w:t>一级资本</w:t>
            </w:r>
            <w:r>
              <w:rPr>
                <w:rFonts w:hint="eastAsia" w:ascii="仿宋_GB2312" w:hAnsi="宋体" w:eastAsia="仿宋_GB2312" w:cs="宋体"/>
                <w:b/>
                <w:bCs/>
                <w:color w:val="auto"/>
                <w:sz w:val="24"/>
                <w:szCs w:val="24"/>
              </w:rPr>
              <w:t>净额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863427.74</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rPr>
                <w:rFonts w:ascii="仿宋_GB2312" w:hAnsi="宋体" w:eastAsia="仿宋_GB2312" w:cs="宋体"/>
                <w:color w:val="auto"/>
                <w:sz w:val="24"/>
                <w:szCs w:val="24"/>
              </w:rPr>
            </w:pPr>
            <w:r>
              <w:rPr>
                <w:rFonts w:hint="eastAsia" w:ascii="仿宋_GB2312" w:hAnsi="宋体" w:eastAsia="仿宋_GB2312" w:cs="宋体"/>
                <w:b/>
                <w:bCs/>
                <w:color w:val="auto"/>
                <w:sz w:val="24"/>
                <w:szCs w:val="24"/>
              </w:rPr>
              <w:t>二级资本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41</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二级资本工具及其溢价</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42</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少数股东资本可计入部分</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43</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超额损失准备可计入部分</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74316.09</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top"/>
              <w:rPr>
                <w:rFonts w:ascii="仿宋_GB2312" w:hAnsi="宋体" w:eastAsia="仿宋_GB2312" w:cs="宋体"/>
                <w:color w:val="auto"/>
                <w:sz w:val="24"/>
                <w:szCs w:val="24"/>
              </w:rPr>
            </w:pPr>
            <w:r>
              <w:rPr>
                <w:rFonts w:hint="eastAsia" w:ascii="仿宋_GB2312" w:hAnsi="宋体" w:eastAsia="仿宋_GB2312" w:cs="仿宋_GB2312"/>
                <w:color w:val="auto"/>
                <w:sz w:val="24"/>
                <w:szCs w:val="24"/>
                <w:lang w:bidi="ar"/>
              </w:rPr>
              <w:t>44</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rPr>
              <w:t>扣除前的二级资本</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74316.09</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rPr>
                <w:rFonts w:ascii="仿宋_GB2312" w:hAnsi="宋体" w:eastAsia="仿宋_GB2312" w:cs="宋体"/>
                <w:color w:val="auto"/>
                <w:sz w:val="24"/>
                <w:szCs w:val="24"/>
              </w:rPr>
            </w:pPr>
            <w:r>
              <w:rPr>
                <w:rFonts w:hint="eastAsia" w:ascii="仿宋_GB2312" w:hAnsi="宋体" w:eastAsia="仿宋_GB2312" w:cs="宋体"/>
                <w:b/>
                <w:bCs/>
                <w:color w:val="auto"/>
                <w:sz w:val="24"/>
                <w:szCs w:val="24"/>
              </w:rPr>
              <w:t>二级资本：扣除项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45</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直接或间接持有的本银行的二级资本</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eastAsia="仿宋_GB2312"/>
                <w:color w:val="auto"/>
                <w:sz w:val="24"/>
                <w:szCs w:val="24"/>
              </w:rPr>
            </w:pPr>
            <w:r>
              <w:rPr>
                <w:rFonts w:hint="eastAsia" w:ascii="仿宋_GB2312" w:hAnsi="仿宋" w:eastAsia="仿宋_GB2312" w:cs="宋体"/>
                <w:color w:val="auto"/>
                <w:sz w:val="24"/>
                <w:szCs w:val="24"/>
              </w:rPr>
              <w:t>46</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仿宋" w:eastAsia="仿宋_GB2312" w:cs="宋体"/>
                <w:color w:val="auto"/>
                <w:sz w:val="24"/>
                <w:szCs w:val="24"/>
              </w:rPr>
              <w:t>银行间或银行与其他金融机构间通过协议相互持有的其他一级资本</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47</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对未并表金融机构小额少数资本投资中的二级资本中应扣除金额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48</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对未并表金融机构大额少数资本投资中的二级资本</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49</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其他应在二级资本中扣除的项目合计</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5</w:t>
            </w:r>
            <w:r>
              <w:rPr>
                <w:rFonts w:hint="eastAsia" w:ascii="仿宋_GB2312" w:eastAsia="仿宋_GB2312"/>
                <w:color w:val="auto"/>
                <w:sz w:val="24"/>
                <w:szCs w:val="24"/>
              </w:rPr>
              <w:t>0</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rPr>
              <w:t>二级资本扣除项总和</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5</w:t>
            </w:r>
            <w:r>
              <w:rPr>
                <w:rFonts w:hint="eastAsia" w:ascii="仿宋_GB2312" w:eastAsia="仿宋_GB2312"/>
                <w:color w:val="auto"/>
                <w:sz w:val="24"/>
                <w:szCs w:val="24"/>
              </w:rPr>
              <w:t>1</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lang w:eastAsia="zh-TW"/>
              </w:rPr>
              <w:t>二级资本</w:t>
            </w:r>
            <w:r>
              <w:rPr>
                <w:rFonts w:hint="eastAsia" w:ascii="仿宋_GB2312" w:hAnsi="宋体" w:eastAsia="仿宋_GB2312" w:cs="宋体"/>
                <w:b/>
                <w:bCs/>
                <w:color w:val="auto"/>
                <w:sz w:val="24"/>
                <w:szCs w:val="24"/>
              </w:rPr>
              <w:t>净额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74316.09</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5</w:t>
            </w:r>
            <w:r>
              <w:rPr>
                <w:rFonts w:hint="eastAsia" w:ascii="仿宋_GB2312" w:eastAsia="仿宋_GB2312"/>
                <w:color w:val="auto"/>
                <w:sz w:val="24"/>
                <w:szCs w:val="24"/>
              </w:rPr>
              <w:t>2</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rPr>
              <w:t>总资本净额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937743.83</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53</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lang w:eastAsia="zh-TW"/>
              </w:rPr>
              <w:t>风险加权资产</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6380817.86</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rPr>
                <w:rFonts w:ascii="仿宋_GB2312" w:hAnsi="宋体" w:eastAsia="PMingLiU" w:cs="宋体"/>
                <w:color w:val="auto"/>
                <w:sz w:val="24"/>
                <w:szCs w:val="24"/>
              </w:rPr>
            </w:pPr>
            <w:r>
              <w:rPr>
                <w:rFonts w:hint="eastAsia" w:ascii="仿宋_GB2312" w:hAnsi="宋体" w:eastAsia="仿宋_GB2312" w:cs="宋体"/>
                <w:b/>
                <w:bCs/>
                <w:color w:val="auto"/>
                <w:sz w:val="24"/>
                <w:szCs w:val="24"/>
              </w:rPr>
              <w:t>资本充足率和其他各级资本要求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54</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color w:val="auto"/>
                <w:sz w:val="24"/>
                <w:szCs w:val="24"/>
              </w:rPr>
            </w:pPr>
            <w:r>
              <w:rPr>
                <w:rFonts w:hint="eastAsia" w:ascii="仿宋_GB2312" w:hAnsi="宋体" w:eastAsia="仿宋_GB2312" w:cs="宋体"/>
                <w:b/>
                <w:color w:val="auto"/>
                <w:sz w:val="24"/>
                <w:szCs w:val="24"/>
                <w:lang w:eastAsia="zh-TW"/>
              </w:rPr>
              <w:t>核心一级资本充足率</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13.53</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55</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color w:val="auto"/>
                <w:sz w:val="24"/>
                <w:szCs w:val="24"/>
              </w:rPr>
            </w:pPr>
            <w:r>
              <w:rPr>
                <w:rFonts w:hint="eastAsia" w:ascii="仿宋_GB2312" w:hAnsi="宋体" w:eastAsia="仿宋_GB2312" w:cs="宋体"/>
                <w:b/>
                <w:color w:val="auto"/>
                <w:sz w:val="24"/>
                <w:szCs w:val="24"/>
                <w:lang w:eastAsia="zh-TW"/>
              </w:rPr>
              <w:t>一级资本充足率</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13.53</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56</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color w:val="auto"/>
                <w:sz w:val="24"/>
                <w:szCs w:val="24"/>
              </w:rPr>
            </w:pPr>
            <w:r>
              <w:rPr>
                <w:rFonts w:hint="eastAsia" w:ascii="仿宋_GB2312" w:hAnsi="宋体" w:eastAsia="仿宋_GB2312" w:cs="宋体"/>
                <w:b/>
                <w:color w:val="auto"/>
                <w:sz w:val="24"/>
                <w:szCs w:val="24"/>
                <w:lang w:eastAsia="zh-TW"/>
              </w:rPr>
              <w:t>资本充足率</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14.70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57</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color w:val="auto"/>
                <w:sz w:val="24"/>
                <w:szCs w:val="24"/>
              </w:rPr>
            </w:pPr>
            <w:r>
              <w:rPr>
                <w:rFonts w:hint="eastAsia" w:ascii="仿宋_GB2312" w:hAnsi="宋体" w:eastAsia="仿宋_GB2312" w:cs="宋体"/>
                <w:b/>
                <w:color w:val="auto"/>
                <w:sz w:val="24"/>
                <w:szCs w:val="24"/>
              </w:rPr>
              <w:t>其他各级资本要求（</w:t>
            </w:r>
            <w:r>
              <w:rPr>
                <w:rFonts w:ascii="仿宋_GB2312" w:hAnsi="宋体" w:eastAsia="仿宋_GB2312" w:cs="宋体"/>
                <w:b/>
                <w:color w:val="auto"/>
                <w:sz w:val="24"/>
                <w:szCs w:val="24"/>
              </w:rPr>
              <w:t>%）</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58</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Calibri" w:eastAsia="仿宋_GB2312" w:cs="Calibri"/>
                <w:color w:val="auto"/>
                <w:sz w:val="24"/>
                <w:szCs w:val="24"/>
              </w:rPr>
            </w:pPr>
            <w:r>
              <w:rPr>
                <w:rFonts w:ascii="仿宋_GB2312" w:hAnsi="Calibri" w:eastAsia="仿宋_GB2312" w:cs="Calibri"/>
                <w:color w:val="auto"/>
                <w:sz w:val="24"/>
                <w:szCs w:val="24"/>
                <w:lang w:eastAsia="zh-TW"/>
              </w:rPr>
              <w:t xml:space="preserve">    </w:t>
            </w:r>
            <w:r>
              <w:rPr>
                <w:rFonts w:hint="eastAsia" w:ascii="仿宋_GB2312" w:hAnsi="宋体" w:eastAsia="仿宋_GB2312" w:cs="Calibri"/>
                <w:color w:val="auto"/>
                <w:sz w:val="24"/>
                <w:szCs w:val="24"/>
                <w:lang w:eastAsia="zh-TW"/>
              </w:rPr>
              <w:t>其中：储备资本要求</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59</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Calibri" w:eastAsia="仿宋_GB2312" w:cs="Calibri"/>
                <w:color w:val="auto"/>
                <w:sz w:val="24"/>
                <w:szCs w:val="24"/>
              </w:rPr>
            </w:pPr>
            <w:r>
              <w:rPr>
                <w:rFonts w:ascii="仿宋_GB2312" w:hAnsi="Calibri" w:eastAsia="仿宋_GB2312" w:cs="Calibri"/>
                <w:color w:val="auto"/>
                <w:sz w:val="24"/>
                <w:szCs w:val="24"/>
              </w:rPr>
              <w:t xml:space="preserve">    </w:t>
            </w:r>
            <w:r>
              <w:rPr>
                <w:rFonts w:hint="eastAsia" w:ascii="仿宋_GB2312" w:hAnsi="宋体" w:eastAsia="仿宋_GB2312" w:cs="Calibri"/>
                <w:color w:val="auto"/>
                <w:sz w:val="24"/>
                <w:szCs w:val="24"/>
              </w:rPr>
              <w:t>其中：逆周期资本要求</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6</w:t>
            </w:r>
            <w:r>
              <w:rPr>
                <w:rFonts w:hint="eastAsia" w:ascii="仿宋_GB2312" w:eastAsia="仿宋_GB2312"/>
                <w:color w:val="auto"/>
                <w:sz w:val="24"/>
                <w:szCs w:val="24"/>
              </w:rPr>
              <w:t>0</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Calibri" w:eastAsia="仿宋_GB2312" w:cs="Calibri"/>
                <w:color w:val="auto"/>
                <w:sz w:val="24"/>
                <w:szCs w:val="24"/>
              </w:rPr>
            </w:pPr>
            <w:r>
              <w:rPr>
                <w:rFonts w:ascii="仿宋_GB2312" w:hAnsi="Calibri" w:eastAsia="仿宋_GB2312" w:cs="Calibri"/>
                <w:color w:val="auto"/>
                <w:sz w:val="24"/>
                <w:szCs w:val="24"/>
              </w:rPr>
              <w:t xml:space="preserve">    </w:t>
            </w:r>
            <w:r>
              <w:rPr>
                <w:rFonts w:hint="eastAsia" w:ascii="仿宋_GB2312" w:hAnsi="宋体" w:eastAsia="仿宋_GB2312" w:cs="Calibri"/>
                <w:color w:val="auto"/>
                <w:sz w:val="24"/>
                <w:szCs w:val="24"/>
              </w:rPr>
              <w:t>其中：全球系统重要性银行或国内系统重要性银行附加资本要求</w:t>
            </w:r>
          </w:p>
        </w:tc>
        <w:tc>
          <w:tcPr>
            <w:tcW w:w="2702" w:type="dxa"/>
            <w:tcBorders>
              <w:top w:val="nil"/>
              <w:left w:val="nil"/>
              <w:bottom w:val="single" w:color="auto" w:sz="4" w:space="0"/>
              <w:right w:val="single" w:color="auto" w:sz="4" w:space="0"/>
            </w:tcBorders>
            <w:shd w:val="clear" w:color="auto" w:fill="BEBEBE"/>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6</w:t>
            </w:r>
            <w:r>
              <w:rPr>
                <w:rFonts w:hint="eastAsia" w:ascii="仿宋_GB2312" w:eastAsia="仿宋_GB2312"/>
                <w:color w:val="auto"/>
                <w:sz w:val="24"/>
                <w:szCs w:val="24"/>
              </w:rPr>
              <w:t>1</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b/>
                <w:color w:val="auto"/>
                <w:sz w:val="24"/>
                <w:szCs w:val="24"/>
              </w:rPr>
            </w:pPr>
            <w:r>
              <w:rPr>
                <w:rFonts w:hint="eastAsia" w:ascii="仿宋_GB2312" w:hAnsi="仿宋_GB2312" w:eastAsia="仿宋_GB2312" w:cs="仿宋_GB2312"/>
                <w:b/>
                <w:bCs/>
                <w:color w:val="auto"/>
                <w:sz w:val="24"/>
                <w:szCs w:val="24"/>
              </w:rPr>
              <w:t>满足最低资本要求后的可用核心一级资本净额占风险加权资产的比例</w:t>
            </w:r>
            <w:r>
              <w:rPr>
                <w:rFonts w:hint="eastAsia" w:ascii="仿宋_GB2312" w:hAnsi="宋体" w:eastAsia="仿宋_GB2312" w:cs="宋体"/>
                <w:b/>
                <w:color w:val="auto"/>
                <w:sz w:val="24"/>
                <w:szCs w:val="24"/>
              </w:rPr>
              <w:t>（</w:t>
            </w:r>
            <w:r>
              <w:rPr>
                <w:rFonts w:ascii="仿宋_GB2312" w:hAnsi="宋体" w:eastAsia="仿宋_GB2312" w:cs="宋体"/>
                <w:b/>
                <w:color w:val="auto"/>
                <w:sz w:val="24"/>
                <w:szCs w:val="24"/>
              </w:rPr>
              <w:t>%</w:t>
            </w:r>
            <w:r>
              <w:rPr>
                <w:rFonts w:hint="eastAsia" w:ascii="仿宋_GB2312" w:hAnsi="宋体" w:eastAsia="仿宋_GB2312" w:cs="宋体"/>
                <w:b/>
                <w:color w:val="auto"/>
                <w:sz w:val="24"/>
                <w:szCs w:val="24"/>
              </w:rPr>
              <w:t>）</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仿宋_GB2312" w:hAnsi="宋体" w:eastAsia="仿宋_GB2312" w:cs="宋体"/>
                <w:color w:val="auto"/>
                <w:sz w:val="24"/>
                <w:szCs w:val="24"/>
                <w:lang w:val="en-US" w:eastAsia="zh-CN"/>
              </w:rPr>
            </w:pPr>
            <w:r>
              <w:rPr>
                <w:rFonts w:hint="eastAsia" w:ascii="仿宋_GB2312" w:hAnsi="宋体" w:eastAsia="仿宋_GB2312" w:cs="宋体"/>
                <w:color w:val="auto"/>
                <w:sz w:val="24"/>
                <w:szCs w:val="24"/>
                <w:lang w:val="en-US" w:eastAsia="zh-CN"/>
              </w:rPr>
              <w:t>6.70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rPr>
                <w:rFonts w:ascii="仿宋_GB2312" w:hAnsi="宋体" w:eastAsia="仿宋_GB2312" w:cs="宋体"/>
                <w:color w:val="auto"/>
                <w:sz w:val="24"/>
                <w:szCs w:val="24"/>
              </w:rPr>
            </w:pPr>
            <w:r>
              <w:rPr>
                <w:rFonts w:hint="eastAsia" w:ascii="仿宋_GB2312" w:hAnsi="宋体" w:eastAsia="仿宋_GB2312" w:cs="宋体"/>
                <w:b/>
                <w:bCs/>
                <w:color w:val="auto"/>
                <w:sz w:val="24"/>
                <w:szCs w:val="24"/>
              </w:rPr>
              <w:t>我国最低监管资本要求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ascii="仿宋_GB2312" w:eastAsia="仿宋_GB2312"/>
                <w:color w:val="auto"/>
                <w:sz w:val="24"/>
                <w:szCs w:val="24"/>
              </w:rPr>
              <w:t>6</w:t>
            </w:r>
            <w:r>
              <w:rPr>
                <w:rFonts w:hint="eastAsia" w:ascii="仿宋_GB2312" w:eastAsia="仿宋_GB2312"/>
                <w:color w:val="auto"/>
                <w:sz w:val="24"/>
                <w:szCs w:val="24"/>
              </w:rPr>
              <w:t>2</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lang w:eastAsia="zh-TW"/>
              </w:rPr>
              <w:t>核心一级资本充足率</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kern w:val="2"/>
                <w:sz w:val="24"/>
                <w:szCs w:val="24"/>
                <w:lang w:val="en-US" w:eastAsia="zh-CN" w:bidi="ar-SA"/>
              </w:rPr>
            </w:pPr>
            <w:r>
              <w:rPr>
                <w:rFonts w:hint="eastAsia" w:ascii="仿宋_GB2312" w:hAnsi="宋体" w:eastAsia="仿宋_GB2312" w:cs="宋体"/>
                <w:color w:val="auto"/>
                <w:sz w:val="24"/>
                <w:szCs w:val="24"/>
              </w:rPr>
              <w:t>≥7.5%</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63</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lang w:eastAsia="zh-TW"/>
              </w:rPr>
              <w:t>一级资本充足率</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kern w:val="2"/>
                <w:sz w:val="24"/>
                <w:szCs w:val="24"/>
                <w:lang w:val="en-US" w:eastAsia="zh-CN" w:bidi="ar-SA"/>
              </w:rPr>
            </w:pPr>
            <w:r>
              <w:rPr>
                <w:rFonts w:hint="eastAsia" w:ascii="仿宋_GB2312" w:hAnsi="宋体" w:eastAsia="仿宋_GB2312" w:cs="宋体"/>
                <w:color w:val="auto"/>
                <w:sz w:val="24"/>
                <w:szCs w:val="24"/>
              </w:rPr>
              <w:t>≥8.5%</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64</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lang w:eastAsia="zh-TW"/>
              </w:rPr>
              <w:t>资本充足率</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kern w:val="2"/>
                <w:sz w:val="24"/>
                <w:szCs w:val="24"/>
                <w:lang w:val="en-US" w:eastAsia="zh-CN" w:bidi="ar-SA"/>
              </w:rPr>
            </w:pPr>
            <w:r>
              <w:rPr>
                <w:rFonts w:hint="eastAsia" w:ascii="仿宋_GB2312" w:hAnsi="宋体" w:eastAsia="仿宋_GB2312" w:cs="宋体"/>
                <w:color w:val="auto"/>
                <w:sz w:val="24"/>
                <w:szCs w:val="24"/>
              </w:rPr>
              <w:t>≥10.5%</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rPr>
                <w:rFonts w:ascii="仿宋_GB2312" w:hAnsi="宋体" w:eastAsia="仿宋_GB2312" w:cs="宋体"/>
                <w:color w:val="auto"/>
                <w:sz w:val="24"/>
                <w:szCs w:val="24"/>
              </w:rPr>
            </w:pPr>
            <w:r>
              <w:rPr>
                <w:rFonts w:hint="eastAsia" w:ascii="仿宋_GB2312" w:hAnsi="宋体" w:eastAsia="仿宋_GB2312" w:cs="宋体"/>
                <w:b/>
                <w:bCs/>
                <w:color w:val="auto"/>
                <w:sz w:val="24"/>
                <w:szCs w:val="24"/>
              </w:rPr>
              <w:t>门槛扣除项中未扣除部分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65</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对未并表金融机构的小额少数资本投资中未扣除部分</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5</w:t>
            </w:r>
            <w:r>
              <w:rPr>
                <w:rFonts w:ascii="仿宋_GB2312" w:hAnsi="宋体" w:eastAsia="仿宋_GB2312" w:cs="宋体"/>
                <w:color w:val="auto"/>
                <w:sz w:val="24"/>
                <w:szCs w:val="24"/>
              </w:rPr>
              <w:t>000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66</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对未并表金融机构的大额少数资本投资中未扣除部分</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0</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67</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其他依赖于银行未来盈利的净递延税资产（扣除递延税负债）</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12074.96</w:t>
            </w: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94" w:type="dxa"/>
            <w:gridSpan w:val="4"/>
            <w:tcBorders>
              <w:top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rPr>
                <w:rFonts w:ascii="仿宋_GB2312" w:hAnsi="宋体" w:eastAsia="仿宋_GB2312" w:cs="宋体"/>
                <w:color w:val="auto"/>
                <w:sz w:val="24"/>
                <w:szCs w:val="24"/>
              </w:rPr>
            </w:pPr>
            <w:r>
              <w:rPr>
                <w:rFonts w:hint="eastAsia" w:ascii="仿宋_GB2312" w:hAnsi="宋体" w:eastAsia="仿宋_GB2312" w:cs="宋体"/>
                <w:b/>
                <w:bCs/>
                <w:color w:val="auto"/>
                <w:sz w:val="24"/>
                <w:szCs w:val="24"/>
              </w:rPr>
              <w:t>可计入二级资本的超额损失准备的限额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68</w:t>
            </w:r>
          </w:p>
        </w:tc>
        <w:tc>
          <w:tcPr>
            <w:tcW w:w="3959"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权重法下，实际计提的超额损失准备金额</w:t>
            </w:r>
          </w:p>
        </w:tc>
        <w:tc>
          <w:tcPr>
            <w:tcW w:w="2702"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eastAsia="仿宋_GB2312"/>
                <w:color w:val="auto"/>
                <w:sz w:val="24"/>
                <w:szCs w:val="24"/>
              </w:rPr>
            </w:pPr>
          </w:p>
        </w:tc>
        <w:tc>
          <w:tcPr>
            <w:tcW w:w="937" w:type="dxa"/>
            <w:tcBorders>
              <w:top w:val="nil"/>
              <w:left w:val="nil"/>
              <w:bottom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tcBorders>
              <w:top w:val="nil"/>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eastAsia="仿宋_GB2312"/>
                <w:color w:val="auto"/>
                <w:sz w:val="24"/>
                <w:szCs w:val="24"/>
              </w:rPr>
              <w:t>69</w:t>
            </w:r>
          </w:p>
        </w:tc>
        <w:tc>
          <w:tcPr>
            <w:tcW w:w="3959" w:type="dxa"/>
            <w:tcBorders>
              <w:top w:val="nil"/>
              <w:left w:val="nil"/>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仿宋_GB2312" w:hAnsi="宋体" w:eastAsia="仿宋_GB2312" w:cs="宋体"/>
                <w:color w:val="auto"/>
                <w:sz w:val="24"/>
                <w:szCs w:val="24"/>
              </w:rPr>
            </w:pPr>
            <w:r>
              <w:rPr>
                <w:rFonts w:hint="eastAsia" w:ascii="仿宋_GB2312" w:hAnsi="宋体" w:eastAsia="仿宋_GB2312" w:cs="宋体"/>
                <w:color w:val="auto"/>
                <w:sz w:val="24"/>
                <w:szCs w:val="24"/>
              </w:rPr>
              <w:t>权重法下，可计入二级资本超额损失准备的数额</w:t>
            </w:r>
          </w:p>
        </w:tc>
        <w:tc>
          <w:tcPr>
            <w:tcW w:w="2702" w:type="dxa"/>
            <w:tcBorders>
              <w:top w:val="nil"/>
              <w:left w:val="nil"/>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r>
              <w:rPr>
                <w:rFonts w:hint="eastAsia" w:ascii="仿宋_GB2312" w:hAnsi="宋体" w:eastAsia="仿宋_GB2312" w:cs="宋体"/>
                <w:color w:val="auto"/>
                <w:sz w:val="24"/>
                <w:szCs w:val="24"/>
              </w:rPr>
              <w:t>74316.09</w:t>
            </w:r>
          </w:p>
        </w:tc>
        <w:tc>
          <w:tcPr>
            <w:tcW w:w="937" w:type="dxa"/>
            <w:tcBorders>
              <w:top w:val="nil"/>
              <w:lef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仿宋_GB2312" w:hAnsi="宋体" w:eastAsia="仿宋_GB2312" w:cs="宋体"/>
                <w:color w:val="auto"/>
                <w:sz w:val="24"/>
                <w:szCs w:val="24"/>
              </w:rPr>
            </w:pPr>
          </w:p>
        </w:tc>
      </w:tr>
    </w:tbl>
    <w:p>
      <w:pPr>
        <w:spacing w:line="480" w:lineRule="exact"/>
        <w:rPr>
          <w:rFonts w:ascii="宋体" w:hAnsi="宋体" w:cs="宋体"/>
          <w:color w:val="000000" w:themeColor="text1"/>
          <w:sz w:val="20"/>
          <w:szCs w:val="20"/>
          <w14:textFill>
            <w14:solidFill>
              <w14:schemeClr w14:val="tx1"/>
            </w14:solidFill>
          </w14:textFill>
        </w:rPr>
      </w:pPr>
    </w:p>
    <w:p/>
    <w:p>
      <w:pPr>
        <w:widowControl/>
        <w:adjustRightInd w:val="0"/>
        <w:snapToGrid w:val="0"/>
        <w:spacing w:line="560" w:lineRule="atLeast"/>
        <w:ind w:firstLine="640" w:firstLineChars="200"/>
        <w:jc w:val="right"/>
        <w:rPr>
          <w:rFonts w:ascii="仿宋_GB2312" w:hAnsi="仿宋_GB2312" w:eastAsia="仿宋_GB2312" w:cs="仿宋_GB2312"/>
          <w:kern w:val="0"/>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ascii="仿宋_GB2312" w:hAnsi="仿宋_GB2312" w:eastAsia="仿宋_GB2312" w:cs="仿宋_GB2312"/>
          <w:kern w:val="0"/>
          <w:sz w:val="32"/>
          <w:szCs w:val="32"/>
        </w:rPr>
      </w:pPr>
      <w:r>
        <w:rPr>
          <w:rFonts w:ascii="Times New Roman" w:hAnsi="Times New Roman" w:eastAsia="仿宋_GB2312"/>
          <w:sz w:val="32"/>
          <w:szCs w:val="32"/>
        </w:rPr>
        <w:t>二</w:t>
      </w:r>
      <w:r>
        <w:rPr>
          <w:rFonts w:hint="eastAsia" w:ascii="微软雅黑" w:hAnsi="微软雅黑" w:eastAsia="微软雅黑" w:cs="微软雅黑"/>
          <w:sz w:val="32"/>
          <w:szCs w:val="32"/>
        </w:rPr>
        <w:t>〇</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二十五</w:t>
      </w:r>
      <w:r>
        <w:rPr>
          <w:rFonts w:ascii="Times New Roman" w:hAnsi="Times New Roman" w:eastAsia="仿宋_GB2312"/>
          <w:sz w:val="32"/>
          <w:szCs w:val="32"/>
        </w:rPr>
        <w:t>日</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PMingLiU">
    <w:altName w:val="Microsoft JhengHei UI"/>
    <w:panose1 w:val="02010601000101010101"/>
    <w:charset w:val="88"/>
    <w:family w:val="roman"/>
    <w:pitch w:val="default"/>
    <w:sig w:usb0="00000000" w:usb1="00000000" w:usb2="00000016" w:usb3="00000000" w:csb0="0010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dmMWU3ODIyY2Y3YjNiZTgxMjFhMzY4ZTNmZjc4ZGMifQ=="/>
  </w:docVars>
  <w:rsids>
    <w:rsidRoot w:val="00D77C3B"/>
    <w:rsid w:val="00020448"/>
    <w:rsid w:val="002B07D9"/>
    <w:rsid w:val="00596C3B"/>
    <w:rsid w:val="00903794"/>
    <w:rsid w:val="00C64EA4"/>
    <w:rsid w:val="00D77C3B"/>
    <w:rsid w:val="00E17000"/>
    <w:rsid w:val="0CD1414B"/>
    <w:rsid w:val="239948B5"/>
    <w:rsid w:val="2F422379"/>
    <w:rsid w:val="48D20795"/>
    <w:rsid w:val="49286852"/>
    <w:rsid w:val="5215706D"/>
    <w:rsid w:val="625E0004"/>
    <w:rsid w:val="6E147404"/>
    <w:rsid w:val="743027AC"/>
    <w:rsid w:val="78E66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line="360" w:lineRule="auto"/>
      <w:jc w:val="center"/>
    </w:pPr>
    <w:rPr>
      <w:rFonts w:ascii="Times New Roman" w:hAnsi="Times New Roman"/>
      <w:b/>
      <w:sz w:val="30"/>
      <w:szCs w:val="20"/>
      <w:u w:val="single"/>
    </w:rPr>
  </w:style>
  <w:style w:type="character" w:styleId="4">
    <w:name w:val="Strong"/>
    <w:qFormat/>
    <w:uiPriority w:val="0"/>
    <w:rPr>
      <w:b/>
    </w:rPr>
  </w:style>
  <w:style w:type="character" w:customStyle="1" w:styleId="6">
    <w:name w:val="lb"/>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1929</Words>
  <Characters>2434</Characters>
  <Lines>3</Lines>
  <Paragraphs>1</Paragraphs>
  <TotalTime>55</TotalTime>
  <ScaleCrop>false</ScaleCrop>
  <LinksUpToDate>false</LinksUpToDate>
  <CharactersWithSpaces>2465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2025-04-02T02:17:00Z</dcterms:created>
  <dc:creator>txnsh</dc:creator>
  <cp:lastModifiedBy>朱筱琪</cp:lastModifiedBy>
  <dcterms:modified xsi:type="dcterms:W3CDTF">2025-04-25T07:42:31Z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B4E529E3780F4B17A7373CC966079C78</vt:lpwstr>
  </property>
</Properties>
</file>